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59:01:4413619:2</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59:01:4413619:3</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59:01:4413619:4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59:01:4413619:13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59:01:4413619:14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59:01:0000000:92969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59:01:4413619:1129</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Земли в кадастровом квартале 59:01:4413619</w:t>
            </w:r>
            <w:r>
              <w:rPr>
                <w:rFonts w:ascii="Times New Roman" w:hAnsi="Times New Roman" w:cs="Times New Roman"/>
                <w:sz w:val="24"/>
                <w:szCs w:val="24"/>
              </w:rPr>
            </w:r>
            <w:r>
              <w:rPr>
                <w:rFonts w:ascii="Times New Roman" w:hAnsi="Times New Roman" w:cs="Times New Roman"/>
                <w:sz w:val="24"/>
                <w:szCs w:val="24"/>
              </w:rPr>
            </w:r>
          </w:p>
          <w:p>
            <w:pPr>
              <w:jc w:val="left"/>
            </w:p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3122"/>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59:01:0000000:1263</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59:01:0000000:82130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59:01:0000000:82146</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59:01:0000000:82354</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59:01:0000000:84662</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59:01:0000000:84695</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59:01:0000000:84985</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59:01:0000000:90848</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59:01:0000000:90860</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59:01:0000000:90863</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59:01:0000000:90865</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59:01:0000000:90866</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59:01:0000000:90914</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59:01:0000000:90996</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59:01:0000000:90997</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59:01:0000000:92279</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59:01:0000000:92509</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59:01:0000000:92580</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59:01:0000000:92831</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59:01:0000000:94917</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59:01:4311003:28 (входит в ЕЗП 59:01:0000000:186)</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59:01:4311902:2</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59:01:4311902:33</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59:01:4311902:8</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59:01:4410165:11</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59:01:4410165:9</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59:01:4410172:18</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59:01:4410172:31</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59:01:4410177:31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59:01:4410267:12</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59:01:4410267:16</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59:01:4410267:69</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59:01:4410267:79</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59:01:4410278:26</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59:01:4410281:11</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59:01:4410281:1220</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59:01:4410281:1221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59:01:4410281:1223</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59:01:4410281:1224</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59:01:4410281:1225</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59:01:4410295:2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59:01:4410295:966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59:01:4410302:14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59:01:4410302:3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59:01:4410302:5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59:01:4410315:7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59:01:4410315:9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59:01:4411053:21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59:01:4411053:2186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59:01:4411053:38</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59:01:4411053:48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59:01:4411053:54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Земли в кадастровом квартале 59:01:4410171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Земли в кадастровом квартале </w:t>
            </w:r>
            <w:r>
              <w:rPr>
                <w:rFonts w:ascii="Times New Roman" w:hAnsi="Times New Roman" w:cs="Times New Roman"/>
                <w:sz w:val="24"/>
                <w:szCs w:val="24"/>
              </w:rPr>
              <w:t xml:space="preserve">59:01:4410302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Земли в кадастровом квартале </w:t>
            </w:r>
            <w:r>
              <w:rPr>
                <w:rFonts w:ascii="Times New Roman" w:hAnsi="Times New Roman" w:cs="Times New Roman"/>
                <w:sz w:val="24"/>
                <w:szCs w:val="24"/>
              </w:rPr>
              <w:t xml:space="preserve">59:01:4410315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Земли в кадастровом квартале </w:t>
            </w:r>
            <w:r>
              <w:rPr>
                <w:rFonts w:ascii="Times New Roman" w:hAnsi="Times New Roman" w:cs="Times New Roman"/>
                <w:sz w:val="24"/>
                <w:szCs w:val="24"/>
              </w:rPr>
              <w:t xml:space="preserve">59:01:4410295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Земли в кадастровом квартале </w:t>
            </w:r>
            <w:r>
              <w:rPr>
                <w:rFonts w:ascii="Times New Roman" w:hAnsi="Times New Roman" w:cs="Times New Roman"/>
                <w:sz w:val="24"/>
                <w:szCs w:val="24"/>
              </w:rPr>
              <w:t xml:space="preserve">59:01:4411053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Земли в кадастровом квартале </w:t>
            </w:r>
            <w:r>
              <w:rPr>
                <w:rFonts w:ascii="Times New Roman" w:hAnsi="Times New Roman" w:cs="Times New Roman"/>
                <w:sz w:val="24"/>
                <w:szCs w:val="24"/>
              </w:rPr>
              <w:t xml:space="preserve">59:01:4410267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Земли в кадастровом квартале </w:t>
            </w:r>
            <w:r>
              <w:rPr>
                <w:rFonts w:ascii="Times New Roman" w:hAnsi="Times New Roman" w:cs="Times New Roman"/>
                <w:sz w:val="24"/>
                <w:szCs w:val="24"/>
              </w:rPr>
              <w:t xml:space="preserve">59:01:4410172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Земли в кадастровом квартале </w:t>
            </w:r>
            <w:r>
              <w:rPr>
                <w:rFonts w:ascii="Times New Roman" w:hAnsi="Times New Roman" w:cs="Times New Roman"/>
                <w:sz w:val="24"/>
                <w:szCs w:val="24"/>
              </w:rPr>
              <w:t xml:space="preserve">59:01:4311902</w:t>
            </w:r>
            <w:r>
              <w:rPr>
                <w:rFonts w:ascii="Times New Roman" w:hAnsi="Times New Roman" w:cs="Times New Roman"/>
                <w:sz w:val="24"/>
                <w:szCs w:val="24"/>
              </w:rPr>
            </w:r>
            <w:r>
              <w:rPr>
                <w:rFonts w:ascii="Times New Roman" w:hAnsi="Times New Roman" w:cs="Times New Roman"/>
                <w:sz w:val="24"/>
                <w:szCs w:val="24"/>
              </w:rPr>
            </w:r>
          </w:p>
          <w:p>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59:01:0000000:90224</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59:01:4410163:3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59:01:4410163:4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59:01:4410163:42</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Земли в кадастровом квартале 59:01:4410163</w:t>
            </w:r>
            <w:bookmarkStart w:id="0" w:name="undefined"/>
            <w:r/>
            <w:bookmarkEnd w:id="0"/>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r>
            <w:r>
              <w:rPr>
                <w:rFonts w:ascii="Times New Roman" w:hAnsi="Times New Roman" w:cs="Times New Roman"/>
                <w:sz w:val="24"/>
                <w:szCs w:val="24"/>
              </w:rPr>
            </w:r>
          </w:p>
          <w:p>
            <w:pPr>
              <w:jc w:val="center"/>
            </w:pPr>
            <w:r>
              <w:rPr>
                <w:rFonts w:ascii="Times New Roman" w:hAnsi="Times New Roman" w:cs="Times New Roman"/>
                <w:sz w:val="24"/>
                <w:szCs w:val="24"/>
                <w:highlight w:val="none"/>
              </w:rPr>
            </w:r>
            <w:r>
              <w:rPr>
                <w:rFonts w:ascii="Times New Roman" w:hAnsi="Times New Roman" w:cs="Times New Roman"/>
                <w:sz w:val="24"/>
                <w:szCs w:val="24"/>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59:01:0000000:90441</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 </w:t>
            </w:r>
            <w:r/>
          </w:p>
          <w:p>
            <w:pPr>
              <w:jc w:val="center"/>
            </w:pPr>
            <w:r>
              <w:t xml:space="preserve">59:01:1715107:15</w:t>
            </w:r>
            <w:r/>
          </w:p>
          <w:p>
            <w:pPr>
              <w:jc w:val="center"/>
            </w:pPr>
            <w:r>
              <w:t xml:space="preserve"> 59:01:1715107:13</w:t>
            </w:r>
            <w:r/>
          </w:p>
          <w:p>
            <w:pPr>
              <w:jc w:val="center"/>
            </w:pPr>
            <w:r>
              <w:t xml:space="preserve">59:01:1715107:127</w:t>
            </w:r>
            <w:r/>
          </w:p>
          <w:p>
            <w:pPr>
              <w:jc w:val="center"/>
            </w:pPr>
            <w:r>
              <w:t xml:space="preserve"> 59:01:1713486:6</w:t>
            </w:r>
            <w:r/>
          </w:p>
          <w:p>
            <w:pPr>
              <w:jc w:val="center"/>
            </w:pPr>
            <w:r>
              <w:t xml:space="preserve">Земли в кадастровом квартале 59:01:0715054</w:t>
            </w:r>
            <w:r/>
          </w:p>
          <w:p>
            <w:pPr>
              <w:jc w:val="center"/>
            </w:pPr>
            <w:r>
              <w:t xml:space="preserve">Земли в кадастровом квартале  59:01:1715107</w:t>
            </w:r>
            <w:r/>
          </w:p>
          <w:p>
            <w:pPr>
              <w:jc w:val="center"/>
            </w:pPr>
            <w:r>
              <w:t xml:space="preserve">Земли в кадастровом квартале 59:01:1713485</w:t>
            </w:r>
            <w:r/>
          </w:p>
          <w:p>
            <w:pPr>
              <w:jc w:val="center"/>
              <w:rPr>
                <w:highlight w:val="none"/>
              </w:rPr>
            </w:pPr>
            <w:r>
              <w:t xml:space="preserve">Земли в кадастровом квартале 59:01:1713486</w:t>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59:01:2118001:52 </w:t>
            </w:r>
            <w:r>
              <w:rPr>
                <w:highlight w:val="none"/>
              </w:rPr>
            </w:r>
          </w:p>
          <w:p>
            <w:pPr>
              <w:jc w:val="center"/>
            </w:pPr>
            <w:r>
              <w:t xml:space="preserve">59:01:2118001:47 </w:t>
            </w:r>
            <w:r/>
          </w:p>
          <w:p>
            <w:pPr>
              <w:jc w:val="center"/>
            </w:pPr>
            <w:r>
              <w:t xml:space="preserve">59:01:0718028:217 </w:t>
            </w:r>
            <w:r/>
          </w:p>
          <w:p>
            <w:pPr>
              <w:jc w:val="center"/>
              <w:rPr>
                <w:highlight w:val="none"/>
              </w:rPr>
            </w:pPr>
            <w:r>
              <w:t xml:space="preserve">Земли в кадастровом квартале 59:01:0718028 </w:t>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05.09.202</w:t>
      </w:r>
      <w:r>
        <w:t xml:space="preserve">5</w:t>
      </w:r>
      <w:r>
        <w:t xml:space="preserve"> п</w:t>
      </w:r>
      <w:r>
        <w:t xml:space="preserve">о</w:t>
      </w:r>
      <w:r>
        <w:t xml:space="preserve"> 19</w:t>
      </w:r>
      <w:r>
        <w:t xml:space="preserve">.</w:t>
      </w:r>
      <w:r>
        <w:t xml:space="preserve">09</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34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112</cp:revision>
  <dcterms:created xsi:type="dcterms:W3CDTF">2023-03-30T08:39:00Z</dcterms:created>
  <dcterms:modified xsi:type="dcterms:W3CDTF">2025-09-02T09:08:59Z</dcterms:modified>
  <cp:version>917504</cp:version>
</cp:coreProperties>
</file>